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Tahoma" w:hAnsi="Tahoma" w:eastAsia="宋体" w:cs="Tahoma"/>
          <w:color w:val="333333"/>
          <w:kern w:val="0"/>
          <w:sz w:val="20"/>
          <w:szCs w:val="20"/>
        </w:rPr>
      </w:pPr>
      <w:r>
        <w:rPr>
          <w:rFonts w:ascii="Tahoma" w:hAnsi="Tahoma" w:eastAsia="宋体" w:cs="Tahoma"/>
          <w:b/>
          <w:bCs/>
          <w:color w:val="333333"/>
          <w:kern w:val="0"/>
          <w:sz w:val="27"/>
          <w:szCs w:val="27"/>
        </w:rPr>
        <w:t>BS 7177垫子,沙发和床垫防火规范</w:t>
      </w:r>
    </w:p>
    <w:p>
      <w:pPr>
        <w:widowControl/>
        <w:jc w:val="left"/>
        <w:rPr>
          <w:rFonts w:ascii="宋体" w:hAnsi="宋体" w:eastAsia="宋体" w:cs="宋体"/>
          <w:kern w:val="0"/>
          <w:sz w:val="24"/>
          <w:szCs w:val="24"/>
        </w:rPr>
      </w:pPr>
      <w:r>
        <w:rPr>
          <w:rFonts w:ascii="Tahoma" w:hAnsi="Tahoma" w:eastAsia="宋体" w:cs="Tahoma"/>
          <w:color w:val="333333"/>
          <w:kern w:val="0"/>
          <w:sz w:val="20"/>
          <w:szCs w:val="20"/>
        </w:rPr>
        <w:br w:type="textWrapping"/>
      </w:r>
    </w:p>
    <w:p>
      <w:pPr>
        <w:widowControl/>
        <w:shd w:val="clear" w:color="auto" w:fill="FFFFFF"/>
        <w:spacing w:line="360" w:lineRule="atLeast"/>
        <w:jc w:val="left"/>
        <w:rPr>
          <w:rFonts w:ascii="Tahoma" w:hAnsi="Tahoma" w:eastAsia="宋体" w:cs="Tahoma"/>
          <w:color w:val="333333"/>
          <w:kern w:val="0"/>
          <w:sz w:val="20"/>
          <w:szCs w:val="20"/>
        </w:rPr>
      </w:pPr>
      <w:bookmarkStart w:id="0" w:name="_GoBack"/>
      <w:r>
        <w:rPr>
          <w:rFonts w:ascii="Verdana" w:hAnsi="Verdana" w:eastAsia="宋体" w:cs="Tahoma"/>
          <w:color w:val="333333"/>
          <w:kern w:val="0"/>
          <w:sz w:val="20"/>
          <w:szCs w:val="20"/>
        </w:rPr>
        <w:t>BS 7177垫子,沙发和床垫防火规范</w:t>
      </w:r>
    </w:p>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b/>
          <w:bCs/>
          <w:color w:val="000000"/>
          <w:kern w:val="0"/>
          <w:sz w:val="20"/>
          <w:szCs w:val="20"/>
        </w:rPr>
        <w:t>BS 7177垫子,沙发和床垫防火规范：</w:t>
      </w:r>
    </w:p>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BS 7177规定了垫子、沙发和床垫的防火性能要求同时符合BS 597-1,BS 597-2和BS 6807 包含那些用在易遭受火灾的区域。防火性能等级是在慎重考虑特殊环境中最终的火灾风险来判定的。这些等级不一定能完全反映垫子、沙发和床垫全部整体在火中燃烧性能。</w:t>
      </w:r>
    </w:p>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color w:val="333333"/>
          <w:kern w:val="0"/>
          <w:sz w:val="20"/>
          <w:szCs w:val="20"/>
        </w:rPr>
        <w:t> </w:t>
      </w:r>
    </w:p>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BS 7177:</w:t>
      </w:r>
      <w:r>
        <w:rPr>
          <w:rFonts w:ascii="Tahoma" w:hAnsi="Tahoma" w:eastAsia="宋体" w:cs="Tahoma"/>
          <w:color w:val="000000"/>
          <w:kern w:val="0"/>
          <w:sz w:val="20"/>
        </w:rPr>
        <w:t> </w:t>
      </w:r>
      <w:r>
        <w:rPr>
          <w:rFonts w:ascii="Tahoma" w:hAnsi="Tahoma" w:eastAsia="宋体" w:cs="Tahoma"/>
          <w:color w:val="000000"/>
          <w:kern w:val="0"/>
          <w:sz w:val="20"/>
          <w:szCs w:val="20"/>
        </w:rPr>
        <w:t>垫子、沙发和床垫防火规范</w:t>
      </w:r>
    </w:p>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BS 7177: Specification for resistance to ignition of mattresses, divans and bed bases</w:t>
      </w:r>
    </w:p>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color w:val="333333"/>
          <w:kern w:val="0"/>
          <w:sz w:val="20"/>
          <w:szCs w:val="20"/>
        </w:rPr>
        <w:t> </w:t>
      </w:r>
    </w:p>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b/>
          <w:bCs/>
          <w:color w:val="000000"/>
          <w:kern w:val="0"/>
          <w:sz w:val="20"/>
          <w:szCs w:val="20"/>
        </w:rPr>
        <w:t>BS 7177中规定的家具用品：</w:t>
      </w:r>
      <w:r>
        <w:rPr>
          <w:rFonts w:ascii="Tahoma" w:hAnsi="Tahoma" w:eastAsia="宋体" w:cs="Tahoma"/>
          <w:b/>
          <w:bCs/>
          <w:color w:val="000000"/>
          <w:kern w:val="0"/>
          <w:sz w:val="20"/>
        </w:rPr>
        <w:t> </w:t>
      </w:r>
      <w:r>
        <w:rPr>
          <w:rFonts w:ascii="Tahoma" w:hAnsi="Tahoma" w:eastAsia="宋体" w:cs="Tahoma"/>
          <w:color w:val="000000"/>
          <w:kern w:val="0"/>
          <w:sz w:val="20"/>
          <w:szCs w:val="20"/>
        </w:rPr>
        <w:t>垫子，沙发，床垫等</w:t>
      </w:r>
    </w:p>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color w:val="333333"/>
          <w:kern w:val="0"/>
          <w:sz w:val="20"/>
          <w:szCs w:val="20"/>
        </w:rPr>
        <w:t> </w:t>
      </w:r>
    </w:p>
    <w:p>
      <w:pPr>
        <w:widowControl/>
        <w:shd w:val="clear" w:color="auto" w:fill="FFFFFF"/>
        <w:spacing w:line="360" w:lineRule="atLeast"/>
        <w:ind w:hanging="420"/>
        <w:jc w:val="left"/>
        <w:rPr>
          <w:rFonts w:ascii="Tahoma" w:hAnsi="Tahoma" w:eastAsia="宋体" w:cs="Tahoma"/>
          <w:color w:val="333333"/>
          <w:kern w:val="0"/>
          <w:sz w:val="20"/>
          <w:szCs w:val="20"/>
        </w:rPr>
      </w:pPr>
      <w:r>
        <w:rPr>
          <w:rFonts w:ascii="Tahoma" w:hAnsi="Tahoma" w:eastAsia="宋体" w:cs="Tahoma"/>
          <w:b/>
          <w:bCs/>
          <w:color w:val="000000"/>
          <w:kern w:val="0"/>
          <w:sz w:val="20"/>
          <w:szCs w:val="20"/>
        </w:rPr>
        <w:t>BS 7177</w:t>
      </w:r>
      <w:r>
        <w:rPr>
          <w:rFonts w:ascii="Tahoma" w:hAnsi="Tahoma" w:eastAsia="宋体" w:cs="Tahoma"/>
          <w:b/>
          <w:bCs/>
          <w:color w:val="000000"/>
          <w:kern w:val="0"/>
          <w:sz w:val="20"/>
        </w:rPr>
        <w:t> </w:t>
      </w:r>
      <w:r>
        <w:rPr>
          <w:rFonts w:ascii="Tahoma" w:hAnsi="Tahoma" w:eastAsia="宋体" w:cs="Tahoma"/>
          <w:b/>
          <w:bCs/>
          <w:color w:val="000000"/>
          <w:kern w:val="0"/>
          <w:sz w:val="20"/>
          <w:szCs w:val="20"/>
        </w:rPr>
        <w:t>标准解析：</w:t>
      </w:r>
    </w:p>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执行要求并注意对危险场所类别的应用</w:t>
      </w:r>
    </w:p>
    <w:tbl>
      <w:tblPr>
        <w:tblStyle w:val="5"/>
        <w:tblW w:w="7920" w:type="dxa"/>
        <w:tblInd w:w="108" w:type="dxa"/>
        <w:shd w:val="clear" w:color="auto" w:fill="FFFFFF"/>
        <w:tblLayout w:type="autofit"/>
        <w:tblCellMar>
          <w:top w:w="0" w:type="dxa"/>
          <w:left w:w="0" w:type="dxa"/>
          <w:bottom w:w="0" w:type="dxa"/>
          <w:right w:w="0" w:type="dxa"/>
        </w:tblCellMar>
      </w:tblPr>
      <w:tblGrid>
        <w:gridCol w:w="1260"/>
        <w:gridCol w:w="4500"/>
        <w:gridCol w:w="2160"/>
      </w:tblGrid>
      <w:tr>
        <w:tblPrEx>
          <w:shd w:val="clear" w:color="auto" w:fill="FFFFFF"/>
          <w:tblCellMar>
            <w:top w:w="0" w:type="dxa"/>
            <w:left w:w="0" w:type="dxa"/>
            <w:bottom w:w="0" w:type="dxa"/>
            <w:right w:w="0" w:type="dxa"/>
          </w:tblCellMar>
        </w:tblPrEx>
        <w:trPr>
          <w:trHeight w:val="459" w:hRule="atLeast"/>
        </w:trPr>
        <w:tc>
          <w:tcPr>
            <w:tcW w:w="1260" w:type="dxa"/>
            <w:tcBorders>
              <w:top w:val="single" w:color="auto" w:sz="8" w:space="0"/>
              <w:left w:val="single" w:color="auto" w:sz="8" w:space="0"/>
              <w:bottom w:val="single" w:color="auto" w:sz="8" w:space="0"/>
              <w:right w:val="single" w:color="auto" w:sz="8" w:space="0"/>
            </w:tcBorders>
            <w:shd w:val="clear" w:color="auto" w:fill="99CCFF"/>
            <w:tcMar>
              <w:top w:w="0" w:type="dxa"/>
              <w:left w:w="108" w:type="dxa"/>
              <w:bottom w:w="0" w:type="dxa"/>
              <w:right w:w="108" w:type="dxa"/>
            </w:tcMar>
            <w:vAlign w:val="center"/>
          </w:tcPr>
          <w:p>
            <w:pPr>
              <w:widowControl/>
              <w:spacing w:line="360" w:lineRule="atLeast"/>
              <w:jc w:val="center"/>
              <w:rPr>
                <w:rFonts w:ascii="Tahoma" w:hAnsi="Tahoma" w:eastAsia="宋体" w:cs="Tahoma"/>
                <w:color w:val="333333"/>
                <w:kern w:val="0"/>
                <w:sz w:val="20"/>
                <w:szCs w:val="20"/>
              </w:rPr>
            </w:pPr>
            <w:r>
              <w:rPr>
                <w:rFonts w:ascii="Tahoma" w:hAnsi="Tahoma" w:eastAsia="宋体" w:cs="Tahoma"/>
                <w:b/>
                <w:bCs/>
                <w:color w:val="000000"/>
                <w:kern w:val="0"/>
                <w:sz w:val="20"/>
                <w:szCs w:val="20"/>
              </w:rPr>
              <w:t>危险级别</w:t>
            </w:r>
          </w:p>
        </w:tc>
        <w:tc>
          <w:tcPr>
            <w:tcW w:w="4500" w:type="dxa"/>
            <w:tcBorders>
              <w:top w:val="single" w:color="auto" w:sz="8" w:space="0"/>
              <w:left w:val="outset" w:color="ECE9D8" w:sz="6" w:space="0"/>
              <w:bottom w:val="single" w:color="auto" w:sz="8" w:space="0"/>
              <w:right w:val="single" w:color="auto" w:sz="8" w:space="0"/>
            </w:tcBorders>
            <w:shd w:val="clear" w:color="auto" w:fill="99CCFF"/>
            <w:tcMar>
              <w:top w:w="0" w:type="dxa"/>
              <w:left w:w="108" w:type="dxa"/>
              <w:bottom w:w="0" w:type="dxa"/>
              <w:right w:w="108" w:type="dxa"/>
            </w:tcMar>
            <w:vAlign w:val="center"/>
          </w:tcPr>
          <w:p>
            <w:pPr>
              <w:widowControl/>
              <w:spacing w:line="360" w:lineRule="atLeast"/>
              <w:jc w:val="center"/>
              <w:rPr>
                <w:rFonts w:ascii="Tahoma" w:hAnsi="Tahoma" w:eastAsia="宋体" w:cs="Tahoma"/>
                <w:color w:val="333333"/>
                <w:kern w:val="0"/>
                <w:sz w:val="20"/>
                <w:szCs w:val="20"/>
              </w:rPr>
            </w:pPr>
            <w:r>
              <w:rPr>
                <w:rFonts w:ascii="Tahoma" w:hAnsi="Tahoma" w:eastAsia="宋体" w:cs="Tahoma"/>
                <w:b/>
                <w:bCs/>
                <w:color w:val="000000"/>
                <w:kern w:val="0"/>
                <w:sz w:val="20"/>
                <w:szCs w:val="20"/>
              </w:rPr>
              <w:t>要求</w:t>
            </w:r>
          </w:p>
        </w:tc>
        <w:tc>
          <w:tcPr>
            <w:tcW w:w="2160" w:type="dxa"/>
            <w:tcBorders>
              <w:top w:val="single" w:color="auto" w:sz="8" w:space="0"/>
              <w:left w:val="outset" w:color="ECE9D8" w:sz="6" w:space="0"/>
              <w:bottom w:val="single" w:color="auto" w:sz="8" w:space="0"/>
              <w:right w:val="single" w:color="auto" w:sz="8" w:space="0"/>
            </w:tcBorders>
            <w:shd w:val="clear" w:color="auto" w:fill="99CCFF"/>
            <w:tcMar>
              <w:top w:w="0" w:type="dxa"/>
              <w:left w:w="108" w:type="dxa"/>
              <w:bottom w:w="0" w:type="dxa"/>
              <w:right w:w="108" w:type="dxa"/>
            </w:tcMar>
            <w:vAlign w:val="center"/>
          </w:tcPr>
          <w:p>
            <w:pPr>
              <w:widowControl/>
              <w:spacing w:line="360" w:lineRule="atLeast"/>
              <w:jc w:val="center"/>
              <w:rPr>
                <w:rFonts w:ascii="Tahoma" w:hAnsi="Tahoma" w:eastAsia="宋体" w:cs="Tahoma"/>
                <w:color w:val="333333"/>
                <w:kern w:val="0"/>
                <w:sz w:val="20"/>
                <w:szCs w:val="20"/>
              </w:rPr>
            </w:pPr>
            <w:r>
              <w:rPr>
                <w:rFonts w:ascii="Tahoma" w:hAnsi="Tahoma" w:eastAsia="宋体" w:cs="Tahoma"/>
                <w:b/>
                <w:bCs/>
                <w:color w:val="000000"/>
                <w:kern w:val="0"/>
                <w:sz w:val="20"/>
                <w:szCs w:val="20"/>
              </w:rPr>
              <w:t>实例</w:t>
            </w:r>
          </w:p>
        </w:tc>
      </w:tr>
      <w:tr>
        <w:tblPrEx>
          <w:shd w:val="clear" w:color="auto" w:fill="FFFFFF"/>
          <w:tblCellMar>
            <w:top w:w="0" w:type="dxa"/>
            <w:left w:w="0" w:type="dxa"/>
            <w:bottom w:w="0" w:type="dxa"/>
            <w:right w:w="0" w:type="dxa"/>
          </w:tblCellMar>
        </w:tblPrEx>
        <w:trPr>
          <w:trHeight w:val="748" w:hRule="atLeast"/>
        </w:trPr>
        <w:tc>
          <w:tcPr>
            <w:tcW w:w="1260" w:type="dxa"/>
            <w:tcBorders>
              <w:top w:val="outset" w:color="ECE9D8" w:sz="6"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家用</w:t>
            </w:r>
          </w:p>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(低危)</w:t>
            </w:r>
          </w:p>
        </w:tc>
        <w:tc>
          <w:tcPr>
            <w:tcW w:w="4500"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阻燃火源-闷燃香烟按BS EN 597-1 规定</w:t>
            </w:r>
          </w:p>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阻燃火源-火柴同等火焰按BS EN 597-2规定</w:t>
            </w:r>
          </w:p>
        </w:tc>
        <w:tc>
          <w:tcPr>
            <w:tcW w:w="2160"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家庭住处 (包含非机动大篷车)</w:t>
            </w:r>
          </w:p>
        </w:tc>
      </w:tr>
      <w:tr>
        <w:tblPrEx>
          <w:shd w:val="clear" w:color="auto" w:fill="FFFFFF"/>
          <w:tblCellMar>
            <w:top w:w="0" w:type="dxa"/>
            <w:left w:w="0" w:type="dxa"/>
            <w:bottom w:w="0" w:type="dxa"/>
            <w:right w:w="0" w:type="dxa"/>
          </w:tblCellMar>
        </w:tblPrEx>
        <w:tc>
          <w:tcPr>
            <w:tcW w:w="1260" w:type="dxa"/>
            <w:tcBorders>
              <w:top w:val="outset" w:color="ECE9D8" w:sz="6"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中危</w:t>
            </w:r>
          </w:p>
        </w:tc>
        <w:tc>
          <w:tcPr>
            <w:tcW w:w="4500"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阻燃火源-闷燃香烟按BS EN 597-1 规定</w:t>
            </w:r>
          </w:p>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阻燃火源-火柴同等火焰按BS EN 597-1 规定阻燃火源5按BS 6807 规定</w:t>
            </w:r>
          </w:p>
        </w:tc>
        <w:tc>
          <w:tcPr>
            <w:tcW w:w="2160"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日间作业中心</w:t>
            </w:r>
          </w:p>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旅馆</w:t>
            </w:r>
          </w:p>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居民旧住宅</w:t>
            </w:r>
          </w:p>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野营小屋</w:t>
            </w:r>
          </w:p>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寄宿学校</w:t>
            </w:r>
          </w:p>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大学学生公寓</w:t>
            </w:r>
          </w:p>
        </w:tc>
      </w:tr>
      <w:tr>
        <w:tblPrEx>
          <w:tblCellMar>
            <w:top w:w="0" w:type="dxa"/>
            <w:left w:w="0" w:type="dxa"/>
            <w:bottom w:w="0" w:type="dxa"/>
            <w:right w:w="0" w:type="dxa"/>
          </w:tblCellMar>
        </w:tblPrEx>
        <w:tc>
          <w:tcPr>
            <w:tcW w:w="1260" w:type="dxa"/>
            <w:tcBorders>
              <w:top w:val="outset" w:color="ECE9D8" w:sz="6"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高危</w:t>
            </w:r>
          </w:p>
        </w:tc>
        <w:tc>
          <w:tcPr>
            <w:tcW w:w="4500"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阻燃火源-闷燃香烟按BS EN 597-1 规定</w:t>
            </w:r>
          </w:p>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阻燃火源-火柴同等火焰按BS EN 597-1 规定阻燃火源7按BS 6807 规定</w:t>
            </w:r>
          </w:p>
        </w:tc>
        <w:tc>
          <w:tcPr>
            <w:tcW w:w="2160"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医院护理处</w:t>
            </w:r>
          </w:p>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临海设施</w:t>
            </w:r>
          </w:p>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旅馆</w:t>
            </w:r>
          </w:p>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居民旧住宅</w:t>
            </w:r>
          </w:p>
        </w:tc>
      </w:tr>
      <w:tr>
        <w:tblPrEx>
          <w:tblCellMar>
            <w:top w:w="0" w:type="dxa"/>
            <w:left w:w="0" w:type="dxa"/>
            <w:bottom w:w="0" w:type="dxa"/>
            <w:right w:w="0" w:type="dxa"/>
          </w:tblCellMar>
        </w:tblPrEx>
        <w:trPr>
          <w:trHeight w:val="1365" w:hRule="atLeast"/>
        </w:trPr>
        <w:tc>
          <w:tcPr>
            <w:tcW w:w="1260" w:type="dxa"/>
            <w:tcBorders>
              <w:top w:val="outset" w:color="ECE9D8" w:sz="6"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极高危</w:t>
            </w:r>
          </w:p>
        </w:tc>
        <w:tc>
          <w:tcPr>
            <w:tcW w:w="4500"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阻燃火源-闷燃香烟按BS EN 597-1 规定</w:t>
            </w:r>
          </w:p>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阻燃火源-火柴同等火焰按BS EN 597-1 规定阻燃火源7按BS 6807规定,</w:t>
            </w:r>
          </w:p>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实验者附加测试须高于高危级别要求</w:t>
            </w:r>
          </w:p>
        </w:tc>
        <w:tc>
          <w:tcPr>
            <w:tcW w:w="2160"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监狱单元</w:t>
            </w:r>
          </w:p>
          <w:p>
            <w:pPr>
              <w:widowControl/>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封闭式康复中心住所</w:t>
            </w:r>
          </w:p>
        </w:tc>
      </w:tr>
    </w:tbl>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color w:val="333333"/>
          <w:kern w:val="0"/>
          <w:sz w:val="20"/>
          <w:szCs w:val="20"/>
        </w:rPr>
        <w:t> </w:t>
      </w:r>
    </w:p>
    <w:p>
      <w:pPr>
        <w:widowControl/>
        <w:shd w:val="clear" w:color="auto" w:fill="FFFFFF"/>
        <w:spacing w:line="360" w:lineRule="atLeast"/>
        <w:ind w:hanging="420"/>
        <w:jc w:val="left"/>
        <w:rPr>
          <w:rFonts w:ascii="Tahoma" w:hAnsi="Tahoma" w:eastAsia="宋体" w:cs="Tahoma"/>
          <w:color w:val="333333"/>
          <w:kern w:val="0"/>
          <w:sz w:val="20"/>
          <w:szCs w:val="20"/>
        </w:rPr>
      </w:pPr>
      <w:r>
        <w:rPr>
          <w:rFonts w:ascii="Tahoma" w:hAnsi="Tahoma" w:eastAsia="宋体" w:cs="Tahoma"/>
          <w:b/>
          <w:bCs/>
          <w:color w:val="000000"/>
          <w:kern w:val="0"/>
          <w:sz w:val="20"/>
          <w:szCs w:val="20"/>
        </w:rPr>
        <w:t>BS 7177</w:t>
      </w:r>
      <w:r>
        <w:rPr>
          <w:rFonts w:ascii="Tahoma" w:hAnsi="Tahoma" w:eastAsia="宋体" w:cs="Tahoma"/>
          <w:b/>
          <w:bCs/>
          <w:color w:val="000000"/>
          <w:kern w:val="0"/>
          <w:sz w:val="20"/>
        </w:rPr>
        <w:t> </w:t>
      </w:r>
      <w:r>
        <w:rPr>
          <w:rFonts w:ascii="Tahoma" w:hAnsi="Tahoma" w:eastAsia="宋体" w:cs="Tahoma"/>
          <w:b/>
          <w:bCs/>
          <w:color w:val="000000"/>
          <w:kern w:val="0"/>
          <w:sz w:val="20"/>
          <w:szCs w:val="20"/>
        </w:rPr>
        <w:t>相关参考标准</w:t>
      </w:r>
    </w:p>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w:t>
      </w:r>
      <w:r>
        <w:rPr>
          <w:rFonts w:ascii="Times New Roman" w:hAnsi="Times New Roman" w:eastAsia="宋体" w:cs="Times New Roman"/>
          <w:color w:val="000000"/>
          <w:kern w:val="0"/>
          <w:sz w:val="14"/>
          <w:szCs w:val="14"/>
        </w:rPr>
        <w:t>  </w:t>
      </w:r>
      <w:r>
        <w:rPr>
          <w:rFonts w:ascii="Times New Roman" w:hAnsi="Times New Roman" w:eastAsia="宋体" w:cs="Times New Roman"/>
          <w:color w:val="000000"/>
          <w:kern w:val="0"/>
          <w:sz w:val="14"/>
        </w:rPr>
        <w:t> </w:t>
      </w:r>
      <w:r>
        <w:rPr>
          <w:rFonts w:ascii="Tahoma" w:hAnsi="Tahoma" w:eastAsia="宋体" w:cs="Tahoma"/>
          <w:color w:val="000000"/>
          <w:kern w:val="0"/>
          <w:sz w:val="20"/>
          <w:szCs w:val="20"/>
        </w:rPr>
        <w:t>BS 5651:</w:t>
      </w:r>
      <w:r>
        <w:rPr>
          <w:rFonts w:ascii="Tahoma" w:hAnsi="Tahoma" w:eastAsia="宋体" w:cs="Tahoma"/>
          <w:color w:val="000000"/>
          <w:kern w:val="0"/>
          <w:sz w:val="20"/>
        </w:rPr>
        <w:t> </w:t>
      </w:r>
      <w:r>
        <w:rPr>
          <w:rFonts w:ascii="Tahoma" w:hAnsi="Tahoma" w:eastAsia="宋体" w:cs="Tahoma"/>
          <w:color w:val="000000"/>
          <w:kern w:val="0"/>
          <w:sz w:val="20"/>
          <w:szCs w:val="20"/>
        </w:rPr>
        <w:t>评定清洗和润湿对纺织品及组合件可燃性能影响用的清洗与润湿方法</w:t>
      </w:r>
    </w:p>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w:t>
      </w:r>
      <w:r>
        <w:rPr>
          <w:rFonts w:ascii="Times New Roman" w:hAnsi="Times New Roman" w:eastAsia="宋体" w:cs="Times New Roman"/>
          <w:color w:val="000000"/>
          <w:kern w:val="0"/>
          <w:sz w:val="14"/>
          <w:szCs w:val="14"/>
        </w:rPr>
        <w:t>  </w:t>
      </w:r>
      <w:r>
        <w:rPr>
          <w:rFonts w:ascii="Times New Roman" w:hAnsi="Times New Roman" w:eastAsia="宋体" w:cs="Times New Roman"/>
          <w:color w:val="000000"/>
          <w:kern w:val="0"/>
          <w:sz w:val="14"/>
        </w:rPr>
        <w:t> </w:t>
      </w:r>
      <w:r>
        <w:rPr>
          <w:rFonts w:ascii="Tahoma" w:hAnsi="Tahoma" w:eastAsia="宋体" w:cs="Tahoma"/>
          <w:color w:val="000000"/>
          <w:kern w:val="0"/>
          <w:sz w:val="20"/>
          <w:szCs w:val="20"/>
        </w:rPr>
        <w:t>BS 5803:</w:t>
      </w:r>
      <w:r>
        <w:rPr>
          <w:rFonts w:ascii="Tahoma" w:hAnsi="Tahoma" w:eastAsia="宋体" w:cs="Tahoma"/>
          <w:color w:val="000000"/>
          <w:kern w:val="0"/>
          <w:sz w:val="20"/>
        </w:rPr>
        <w:t> </w:t>
      </w:r>
      <w:r>
        <w:rPr>
          <w:rFonts w:ascii="Tahoma" w:hAnsi="Tahoma" w:eastAsia="宋体" w:cs="Tahoma"/>
          <w:color w:val="000000"/>
          <w:kern w:val="0"/>
          <w:sz w:val="20"/>
          <w:szCs w:val="20"/>
        </w:rPr>
        <w:t>斜坡屋顶空间隔热</w:t>
      </w:r>
    </w:p>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w:t>
      </w:r>
      <w:r>
        <w:rPr>
          <w:rFonts w:ascii="Times New Roman" w:hAnsi="Times New Roman" w:eastAsia="宋体" w:cs="Times New Roman"/>
          <w:color w:val="000000"/>
          <w:kern w:val="0"/>
          <w:sz w:val="14"/>
          <w:szCs w:val="14"/>
        </w:rPr>
        <w:t>  </w:t>
      </w:r>
      <w:r>
        <w:rPr>
          <w:rFonts w:ascii="Times New Roman" w:hAnsi="Times New Roman" w:eastAsia="宋体" w:cs="Times New Roman"/>
          <w:color w:val="000000"/>
          <w:kern w:val="0"/>
          <w:sz w:val="14"/>
        </w:rPr>
        <w:t> </w:t>
      </w:r>
      <w:r>
        <w:rPr>
          <w:rFonts w:ascii="Tahoma" w:hAnsi="Tahoma" w:eastAsia="宋体" w:cs="Tahoma"/>
          <w:color w:val="000000"/>
          <w:kern w:val="0"/>
          <w:sz w:val="20"/>
          <w:szCs w:val="20"/>
        </w:rPr>
        <w:t>BS 5803-1:</w:t>
      </w:r>
      <w:r>
        <w:rPr>
          <w:rFonts w:ascii="Tahoma" w:hAnsi="Tahoma" w:eastAsia="宋体" w:cs="Tahoma"/>
          <w:color w:val="000000"/>
          <w:kern w:val="0"/>
          <w:sz w:val="20"/>
        </w:rPr>
        <w:t> </w:t>
      </w:r>
      <w:r>
        <w:rPr>
          <w:rFonts w:ascii="Tahoma" w:hAnsi="Tahoma" w:eastAsia="宋体" w:cs="Tahoma"/>
          <w:color w:val="000000"/>
          <w:kern w:val="0"/>
          <w:sz w:val="20"/>
          <w:szCs w:val="20"/>
        </w:rPr>
        <w:t>住房的坡屋顶空间的隔热.第1部分:人造矿物纤维隔热垫规范</w:t>
      </w:r>
    </w:p>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w:t>
      </w:r>
      <w:r>
        <w:rPr>
          <w:rFonts w:ascii="Times New Roman" w:hAnsi="Times New Roman" w:eastAsia="宋体" w:cs="Times New Roman"/>
          <w:color w:val="000000"/>
          <w:kern w:val="0"/>
          <w:sz w:val="14"/>
          <w:szCs w:val="14"/>
        </w:rPr>
        <w:t>  </w:t>
      </w:r>
      <w:r>
        <w:rPr>
          <w:rFonts w:ascii="Times New Roman" w:hAnsi="Times New Roman" w:eastAsia="宋体" w:cs="Times New Roman"/>
          <w:color w:val="000000"/>
          <w:kern w:val="0"/>
          <w:sz w:val="14"/>
        </w:rPr>
        <w:t> </w:t>
      </w:r>
      <w:r>
        <w:rPr>
          <w:rFonts w:ascii="Tahoma" w:hAnsi="Tahoma" w:eastAsia="宋体" w:cs="Tahoma"/>
          <w:color w:val="000000"/>
          <w:kern w:val="0"/>
          <w:sz w:val="20"/>
          <w:szCs w:val="20"/>
        </w:rPr>
        <w:t>BS EN 597:</w:t>
      </w:r>
      <w:r>
        <w:rPr>
          <w:rFonts w:ascii="Tahoma" w:hAnsi="Tahoma" w:eastAsia="宋体" w:cs="Tahoma"/>
          <w:color w:val="000000"/>
          <w:kern w:val="0"/>
          <w:sz w:val="20"/>
        </w:rPr>
        <w:t> </w:t>
      </w:r>
      <w:r>
        <w:rPr>
          <w:rFonts w:ascii="Tahoma" w:hAnsi="Tahoma" w:eastAsia="宋体" w:cs="Tahoma"/>
          <w:color w:val="000000"/>
          <w:kern w:val="0"/>
          <w:sz w:val="20"/>
          <w:szCs w:val="20"/>
        </w:rPr>
        <w:t>家具-床垫和装饰床具的可燃性评定.</w:t>
      </w:r>
    </w:p>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w:t>
      </w:r>
      <w:r>
        <w:rPr>
          <w:rFonts w:ascii="Times New Roman" w:hAnsi="Times New Roman" w:eastAsia="宋体" w:cs="Times New Roman"/>
          <w:color w:val="000000"/>
          <w:kern w:val="0"/>
          <w:sz w:val="14"/>
          <w:szCs w:val="14"/>
        </w:rPr>
        <w:t>  </w:t>
      </w:r>
      <w:r>
        <w:rPr>
          <w:rFonts w:ascii="Times New Roman" w:hAnsi="Times New Roman" w:eastAsia="宋体" w:cs="Times New Roman"/>
          <w:color w:val="000000"/>
          <w:kern w:val="0"/>
          <w:sz w:val="14"/>
        </w:rPr>
        <w:t> </w:t>
      </w:r>
      <w:r>
        <w:rPr>
          <w:rFonts w:ascii="Tahoma" w:hAnsi="Tahoma" w:eastAsia="宋体" w:cs="Tahoma"/>
          <w:color w:val="000000"/>
          <w:kern w:val="0"/>
          <w:sz w:val="20"/>
          <w:szCs w:val="20"/>
        </w:rPr>
        <w:t>BS EN 597-1:</w:t>
      </w:r>
      <w:r>
        <w:rPr>
          <w:rFonts w:ascii="Tahoma" w:hAnsi="Tahoma" w:eastAsia="宋体" w:cs="Tahoma"/>
          <w:color w:val="000000"/>
          <w:kern w:val="0"/>
          <w:sz w:val="20"/>
        </w:rPr>
        <w:t> </w:t>
      </w:r>
      <w:r>
        <w:rPr>
          <w:rFonts w:ascii="Tahoma" w:hAnsi="Tahoma" w:eastAsia="宋体" w:cs="Tahoma"/>
          <w:color w:val="000000"/>
          <w:kern w:val="0"/>
          <w:sz w:val="20"/>
          <w:szCs w:val="20"/>
        </w:rPr>
        <w:t>第一部分: 火源:闷燃香烟</w:t>
      </w:r>
    </w:p>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color w:val="000000"/>
          <w:kern w:val="0"/>
          <w:sz w:val="20"/>
          <w:szCs w:val="20"/>
        </w:rPr>
        <w:t>-</w:t>
      </w:r>
      <w:r>
        <w:rPr>
          <w:rFonts w:ascii="Times New Roman" w:hAnsi="Times New Roman" w:eastAsia="宋体" w:cs="Times New Roman"/>
          <w:color w:val="000000"/>
          <w:kern w:val="0"/>
          <w:sz w:val="14"/>
          <w:szCs w:val="14"/>
        </w:rPr>
        <w:t>  </w:t>
      </w:r>
      <w:r>
        <w:rPr>
          <w:rFonts w:ascii="Times New Roman" w:hAnsi="Times New Roman" w:eastAsia="宋体" w:cs="Times New Roman"/>
          <w:color w:val="000000"/>
          <w:kern w:val="0"/>
          <w:sz w:val="14"/>
        </w:rPr>
        <w:t> </w:t>
      </w:r>
      <w:r>
        <w:rPr>
          <w:rFonts w:ascii="Tahoma" w:hAnsi="Tahoma" w:eastAsia="宋体" w:cs="Tahoma"/>
          <w:color w:val="000000"/>
          <w:kern w:val="0"/>
          <w:sz w:val="20"/>
          <w:szCs w:val="20"/>
        </w:rPr>
        <w:t>BS EN 597-2:</w:t>
      </w:r>
      <w:r>
        <w:rPr>
          <w:rFonts w:ascii="Tahoma" w:hAnsi="Tahoma" w:eastAsia="宋体" w:cs="Tahoma"/>
          <w:color w:val="000000"/>
          <w:kern w:val="0"/>
          <w:sz w:val="20"/>
        </w:rPr>
        <w:t> </w:t>
      </w:r>
      <w:r>
        <w:rPr>
          <w:rFonts w:ascii="Tahoma" w:hAnsi="Tahoma" w:eastAsia="宋体" w:cs="Tahoma"/>
          <w:color w:val="000000"/>
          <w:kern w:val="0"/>
          <w:sz w:val="20"/>
          <w:szCs w:val="20"/>
        </w:rPr>
        <w:t>第二部分: 火源:与火柴火焰同等的火源.</w:t>
      </w:r>
    </w:p>
    <w:bookmarkEnd w:id="0"/>
    <w:p>
      <w:pPr>
        <w:widowControl/>
        <w:shd w:val="clear" w:color="auto" w:fill="FFFFFF"/>
        <w:spacing w:line="360" w:lineRule="atLeast"/>
        <w:jc w:val="left"/>
        <w:rPr>
          <w:rFonts w:ascii="Tahoma" w:hAnsi="Tahoma" w:eastAsia="宋体" w:cs="Tahoma"/>
          <w:color w:val="333333"/>
          <w:kern w:val="0"/>
          <w:sz w:val="20"/>
          <w:szCs w:val="20"/>
        </w:rPr>
      </w:pPr>
      <w:r>
        <w:rPr>
          <w:rFonts w:ascii="Tahoma" w:hAnsi="Tahoma" w:eastAsia="宋体" w:cs="Tahoma"/>
          <w:color w:val="333333"/>
          <w:kern w:val="0"/>
          <w:sz w:val="20"/>
          <w:szCs w:val="2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C0"/>
    <w:rsid w:val="005710C0"/>
    <w:rsid w:val="00BB67E2"/>
    <w:rsid w:val="00DC4640"/>
    <w:rsid w:val="07D41F98"/>
    <w:rsid w:val="68EA7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apple-converted-space"/>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Alibaba</Company>
  <Pages>2</Pages>
  <Words>629</Words>
  <Characters>834</Characters>
  <Lines>7</Lines>
  <Paragraphs>1</Paragraphs>
  <TotalTime>3</TotalTime>
  <ScaleCrop>false</ScaleCrop>
  <LinksUpToDate>false</LinksUpToDate>
  <CharactersWithSpaces>931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2016-06-28T07:15:00Z</dcterms:created>
  <dc:creator>hh</dc:creator>
  <cp:lastModifiedBy> Attendez  </cp:lastModifiedBy>
  <dcterms:modified xsi:type="dcterms:W3CDTF">2022-06-09T07:40:40Z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5E9FF1D9EA224A6AB0FFD1D56422840C</vt:lpwstr>
  </property>
</Properties>
</file>